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3BA3D4D" w:rsidR="006F3955" w:rsidRPr="008904C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904C5">
                                  <w:rPr>
                                    <w:rFonts w:cs="Arial"/>
                                    <w:b/>
                                    <w:color w:val="auto"/>
                                    <w:sz w:val="40"/>
                                    <w:szCs w:val="56"/>
                                    <w:lang w:val="ka-GE"/>
                                  </w:rPr>
                                  <w:t>ცეცხლმაქრების დამუხტვაზე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3BA3D4D" w:rsidR="006F3955" w:rsidRPr="008904C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904C5">
                            <w:rPr>
                              <w:rFonts w:cs="Arial"/>
                              <w:b/>
                              <w:color w:val="auto"/>
                              <w:sz w:val="40"/>
                              <w:szCs w:val="56"/>
                              <w:lang w:val="ka-GE"/>
                            </w:rPr>
                            <w:t>ცეცხლმაქრების დამუხტვაზე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B6D9805" w:rsidR="006F3955" w:rsidRDefault="008904C5" w:rsidP="007C5AE6">
                                      <w:pPr>
                                        <w:rPr>
                                          <w:lang w:val="ka-GE"/>
                                        </w:rPr>
                                      </w:pPr>
                                      <w:r>
                                        <w:rPr>
                                          <w:lang w:val="ka-GE"/>
                                        </w:rPr>
                                        <w:t>4</w:t>
                                      </w:r>
                                      <w:r w:rsidR="00FF2935">
                                        <w:t xml:space="preserve"> </w:t>
                                      </w:r>
                                      <w:r>
                                        <w:rPr>
                                          <w:lang w:val="ka-GE"/>
                                        </w:rPr>
                                        <w:t>სექტემბერი</w:t>
                                      </w:r>
                                      <w:r w:rsidR="00DE53CA">
                                        <w:rPr>
                                          <w:lang w:val="ka-GE"/>
                                        </w:rPr>
                                        <w:t xml:space="preserve"> </w:t>
                                      </w:r>
                                      <w:r w:rsidR="006F3955">
                                        <w:rPr>
                                          <w:lang w:val="ka-GE"/>
                                        </w:rPr>
                                        <w:t>20</w:t>
                                      </w:r>
                                      <w:r w:rsidR="008464E9">
                                        <w:rPr>
                                          <w:lang w:val="ka-GE"/>
                                        </w:rPr>
                                        <w:t>20</w:t>
                                      </w:r>
                                    </w:p>
                                    <w:p w14:paraId="5273460A" w14:textId="683B8959" w:rsidR="006F3955" w:rsidRPr="00415C7C" w:rsidRDefault="00884C16" w:rsidP="00FF2935">
                                      <w:pPr>
                                        <w:rPr>
                                          <w:lang w:val="ka-GE"/>
                                        </w:rPr>
                                      </w:pPr>
                                      <w:r>
                                        <w:t>14</w:t>
                                      </w:r>
                                      <w:r w:rsidR="000F3B92">
                                        <w:rPr>
                                          <w:lang w:val="ka-GE"/>
                                        </w:rPr>
                                        <w:t xml:space="preserve"> </w:t>
                                      </w:r>
                                      <w:r w:rsidR="00FF2935">
                                        <w:rPr>
                                          <w:lang w:val="ka-GE"/>
                                        </w:rPr>
                                        <w:t>სექტემბერი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D52B20"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B6D9805" w:rsidR="006F3955" w:rsidRDefault="008904C5" w:rsidP="007C5AE6">
                                <w:pPr>
                                  <w:rPr>
                                    <w:lang w:val="ka-GE"/>
                                  </w:rPr>
                                </w:pPr>
                                <w:r>
                                  <w:rPr>
                                    <w:lang w:val="ka-GE"/>
                                  </w:rPr>
                                  <w:t>4</w:t>
                                </w:r>
                                <w:r w:rsidR="00FF2935">
                                  <w:t xml:space="preserve"> </w:t>
                                </w:r>
                                <w:r>
                                  <w:rPr>
                                    <w:lang w:val="ka-GE"/>
                                  </w:rPr>
                                  <w:t>სექტემბერი</w:t>
                                </w:r>
                                <w:r w:rsidR="00DE53CA">
                                  <w:rPr>
                                    <w:lang w:val="ka-GE"/>
                                  </w:rPr>
                                  <w:t xml:space="preserve"> </w:t>
                                </w:r>
                                <w:r w:rsidR="006F3955">
                                  <w:rPr>
                                    <w:lang w:val="ka-GE"/>
                                  </w:rPr>
                                  <w:t>20</w:t>
                                </w:r>
                                <w:r w:rsidR="008464E9">
                                  <w:rPr>
                                    <w:lang w:val="ka-GE"/>
                                  </w:rPr>
                                  <w:t>20</w:t>
                                </w:r>
                              </w:p>
                              <w:p w14:paraId="5273460A" w14:textId="683B8959" w:rsidR="006F3955" w:rsidRPr="00415C7C" w:rsidRDefault="00884C16" w:rsidP="00FF2935">
                                <w:pPr>
                                  <w:rPr>
                                    <w:lang w:val="ka-GE"/>
                                  </w:rPr>
                                </w:pPr>
                                <w:r>
                                  <w:t>14</w:t>
                                </w:r>
                                <w:r w:rsidR="000F3B92">
                                  <w:rPr>
                                    <w:lang w:val="ka-GE"/>
                                  </w:rPr>
                                  <w:t xml:space="preserve"> </w:t>
                                </w:r>
                                <w:r w:rsidR="00FF2935">
                                  <w:rPr>
                                    <w:lang w:val="ka-GE"/>
                                  </w:rPr>
                                  <w:t>სექტემბერი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D52B20"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19856F67"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8904C5">
        <w:rPr>
          <w:rFonts w:cs="Arial"/>
          <w:b/>
          <w:color w:val="auto"/>
          <w:sz w:val="40"/>
          <w:szCs w:val="56"/>
          <w:lang w:val="ka-GE"/>
        </w:rPr>
        <w:t>ცეცხლმაქრების დამუხტვაზე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D52B20">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D52B20">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D52B20">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D52B20">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1042B5AD"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904C5">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5C2BC35F" w:rsidR="00B8474F" w:rsidRPr="008904C5" w:rsidRDefault="00B8474F" w:rsidP="008904C5">
      <w:pPr>
        <w:spacing w:after="200" w:line="276" w:lineRule="auto"/>
        <w:jc w:val="left"/>
        <w:rPr>
          <w:rFonts w:cs="Sylfaen"/>
          <w:lang w:val="ka-GE"/>
        </w:rPr>
      </w:pPr>
    </w:p>
    <w:p w14:paraId="7152019F" w14:textId="77777777" w:rsidR="008904C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w:t>
      </w:r>
    </w:p>
    <w:p w14:paraId="799C44A3" w14:textId="72152A25" w:rsidR="00FF2935" w:rsidRDefault="00FF2935" w:rsidP="008904C5">
      <w:pPr>
        <w:pStyle w:val="ListParagraph"/>
        <w:numPr>
          <w:ilvl w:val="0"/>
          <w:numId w:val="15"/>
        </w:numPr>
        <w:spacing w:after="200" w:line="276" w:lineRule="auto"/>
        <w:jc w:val="left"/>
        <w:rPr>
          <w:rFonts w:cs="Sylfaen"/>
          <w:lang w:val="ka-GE"/>
        </w:rPr>
      </w:pPr>
      <w:r>
        <w:rPr>
          <w:rFonts w:cs="Sylfaen"/>
          <w:lang w:val="ka-GE"/>
        </w:rPr>
        <w:t>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624F85D7" w14:textId="2A721F85" w:rsidR="008904C5" w:rsidRDefault="008904C5" w:rsidP="008904C5">
      <w:pPr>
        <w:pStyle w:val="ListParagraph"/>
        <w:numPr>
          <w:ilvl w:val="0"/>
          <w:numId w:val="15"/>
        </w:numPr>
        <w:spacing w:after="200" w:line="276" w:lineRule="auto"/>
        <w:jc w:val="left"/>
        <w:rPr>
          <w:rFonts w:cs="Sylfaen"/>
          <w:lang w:val="ka-GE"/>
        </w:rPr>
      </w:pPr>
      <w:r>
        <w:rPr>
          <w:rFonts w:cs="Sylfaen"/>
          <w:lang w:val="ka-GE"/>
        </w:rPr>
        <w:t xml:space="preserve">ფხივნილზე გაცემული სერთიფიკატი წარმოშობის ქვეყნის სტანდარტების ინტიტუტის მიერ: </w:t>
      </w:r>
      <w:r>
        <w:rPr>
          <w:rFonts w:cs="Sylfaen"/>
        </w:rPr>
        <w:t xml:space="preserve">ABC </w:t>
      </w:r>
      <w:r>
        <w:rPr>
          <w:rFonts w:cs="Sylfaen"/>
          <w:lang w:val="ka-GE"/>
        </w:rPr>
        <w:t>კლასი 90%-იანი მონოამონიუმის ფოსმატი.</w:t>
      </w:r>
    </w:p>
    <w:p w14:paraId="772FF7D2" w14:textId="4DF17527" w:rsidR="008904C5" w:rsidRDefault="008904C5" w:rsidP="008904C5">
      <w:pPr>
        <w:pStyle w:val="ListParagraph"/>
        <w:numPr>
          <w:ilvl w:val="0"/>
          <w:numId w:val="15"/>
        </w:numPr>
        <w:spacing w:after="200" w:line="276" w:lineRule="auto"/>
        <w:jc w:val="left"/>
        <w:rPr>
          <w:rFonts w:cs="Sylfaen"/>
          <w:lang w:val="ka-GE"/>
        </w:rPr>
      </w:pPr>
      <w:r>
        <w:rPr>
          <w:rFonts w:cs="Sylfaen"/>
          <w:lang w:val="ka-GE"/>
        </w:rPr>
        <w:t>მინიმუმ 5 წლიანი გამოცხდილება  ცეცხლმაქრების დამუხტვის მიმართულებით. უნდა დასტურდებოდეს მინიმუმ ერთი კონტრაქტით.</w:t>
      </w:r>
    </w:p>
    <w:p w14:paraId="5F23892A" w14:textId="77777777" w:rsidR="008904C5" w:rsidRDefault="008904C5" w:rsidP="008904C5">
      <w:pPr>
        <w:pStyle w:val="ListParagraph"/>
        <w:spacing w:after="200" w:line="276" w:lineRule="auto"/>
        <w:jc w:val="left"/>
        <w:rPr>
          <w:rFonts w:cs="Sylfaen"/>
          <w:lang w:val="ka-GE"/>
        </w:rPr>
      </w:pP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lastRenderedPageBreak/>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tbl>
      <w:tblPr>
        <w:tblStyle w:val="TableGrid"/>
        <w:tblW w:w="0" w:type="auto"/>
        <w:tblLook w:val="04A0" w:firstRow="1" w:lastRow="0" w:firstColumn="1" w:lastColumn="0" w:noHBand="0" w:noVBand="1"/>
      </w:tblPr>
      <w:tblGrid>
        <w:gridCol w:w="7218"/>
        <w:gridCol w:w="3078"/>
      </w:tblGrid>
      <w:tr w:rsidR="008904C5" w14:paraId="107DBBB0" w14:textId="77777777" w:rsidTr="008904C5">
        <w:tc>
          <w:tcPr>
            <w:tcW w:w="7218" w:type="dxa"/>
          </w:tcPr>
          <w:p w14:paraId="79D7B321" w14:textId="127D62F9" w:rsidR="008904C5" w:rsidRPr="008904C5" w:rsidRDefault="008904C5">
            <w:pPr>
              <w:jc w:val="left"/>
              <w:rPr>
                <w:lang w:val="ka-GE"/>
              </w:rPr>
            </w:pPr>
            <w:r>
              <w:rPr>
                <w:lang w:val="ka-GE"/>
              </w:rPr>
              <w:t>მომსახურების აღწერა</w:t>
            </w:r>
          </w:p>
        </w:tc>
        <w:tc>
          <w:tcPr>
            <w:tcW w:w="3078" w:type="dxa"/>
          </w:tcPr>
          <w:p w14:paraId="62FFF598" w14:textId="2F595E24" w:rsidR="008904C5" w:rsidRPr="008904C5" w:rsidRDefault="008904C5">
            <w:pPr>
              <w:jc w:val="left"/>
              <w:rPr>
                <w:lang w:val="ka-GE"/>
              </w:rPr>
            </w:pPr>
            <w:r>
              <w:rPr>
                <w:lang w:val="ka-GE"/>
              </w:rPr>
              <w:t>ერთი კგ-ს დამუხტვის ფასი</w:t>
            </w:r>
          </w:p>
        </w:tc>
      </w:tr>
      <w:tr w:rsidR="008904C5" w14:paraId="7D8D433C" w14:textId="77777777" w:rsidTr="008904C5">
        <w:tc>
          <w:tcPr>
            <w:tcW w:w="7218" w:type="dxa"/>
          </w:tcPr>
          <w:p w14:paraId="6F4AA067" w14:textId="79D5B2F0" w:rsidR="008904C5" w:rsidRPr="001E6DDF" w:rsidRDefault="008904C5">
            <w:pPr>
              <w:jc w:val="left"/>
            </w:pPr>
            <w:r>
              <w:rPr>
                <w:lang w:val="ka-GE"/>
              </w:rPr>
              <w:t>პრეტენდეტნმა უნდა უზრუნველყოს 5კგ-იანი ცეცხლმაქრების დამუტვა</w:t>
            </w:r>
            <w:r w:rsidR="001E6DDF">
              <w:rPr>
                <w:lang w:val="ka-GE"/>
              </w:rPr>
              <w:t xml:space="preserve"> ABC კლასის ფხვნილით (90%-იანი </w:t>
            </w:r>
            <w:r w:rsidR="001E6DDF">
              <w:rPr>
                <w:rFonts w:cs="Sylfaen"/>
                <w:lang w:val="ka-GE"/>
              </w:rPr>
              <w:t>მონოამონიუმის ფოსმატი</w:t>
            </w:r>
            <w:r w:rsidR="001E6DDF">
              <w:rPr>
                <w:rFonts w:cs="Sylfaen"/>
                <w:lang w:val="ka-GE"/>
              </w:rPr>
              <w:t>თ)</w:t>
            </w:r>
            <w:r w:rsidR="001E6DDF">
              <w:rPr>
                <w:rFonts w:cs="Sylfaen"/>
                <w:lang w:val="ka-GE"/>
              </w:rPr>
              <w:t>.</w:t>
            </w:r>
          </w:p>
          <w:p w14:paraId="3B50E5E8" w14:textId="77777777" w:rsidR="008904C5" w:rsidRDefault="008904C5">
            <w:pPr>
              <w:jc w:val="left"/>
              <w:rPr>
                <w:lang w:val="ka-GE"/>
              </w:rPr>
            </w:pPr>
            <w:r>
              <w:rPr>
                <w:lang w:val="ka-GE"/>
              </w:rPr>
              <w:t>ბანკის  პერიოდულად გზავნის მოთხოვნას დამუხტვაზე</w:t>
            </w:r>
            <w:r w:rsidR="001E6DDF">
              <w:rPr>
                <w:lang w:val="ka-GE"/>
              </w:rPr>
              <w:t>, პრეტენდეტმა სრულად უნდა უზრუნველყოს წაღება-მოტანა დასმუხტი/დამუხტული ცეცხლმაქრების ბანკის საწყობიდან ქ. თბილისი, ურეკის ქ.2.</w:t>
            </w:r>
          </w:p>
          <w:p w14:paraId="51064D70" w14:textId="77777777" w:rsidR="001E6DDF" w:rsidRDefault="001E6DDF">
            <w:pPr>
              <w:jc w:val="left"/>
            </w:pPr>
            <w:r>
              <w:rPr>
                <w:lang w:val="ka-GE"/>
              </w:rPr>
              <w:t>წარმოების სიმძლავრე  - მინ. 200 ერთეული ცეცხლმაქრის დამუხტვა</w:t>
            </w:r>
            <w:r>
              <w:t>.</w:t>
            </w:r>
          </w:p>
          <w:p w14:paraId="4295FEE4" w14:textId="163EA357" w:rsidR="001E6DDF" w:rsidRPr="001E6DDF" w:rsidRDefault="001E6DDF">
            <w:pPr>
              <w:jc w:val="left"/>
              <w:rPr>
                <w:lang w:val="ka-GE"/>
              </w:rPr>
            </w:pPr>
            <w:r>
              <w:rPr>
                <w:lang w:val="ka-GE"/>
              </w:rPr>
              <w:t xml:space="preserve">დამუხტული ცეცხლმაქრები უნდა დასტიკერდეს დამუხტვის აღმნიშვნელი მარკით და თარიღით. </w:t>
            </w:r>
            <w:bookmarkStart w:id="8" w:name="_GoBack"/>
            <w:bookmarkEnd w:id="8"/>
          </w:p>
        </w:tc>
        <w:tc>
          <w:tcPr>
            <w:tcW w:w="3078" w:type="dxa"/>
          </w:tcPr>
          <w:p w14:paraId="0F605443" w14:textId="77777777" w:rsidR="008904C5" w:rsidRDefault="008904C5">
            <w:pPr>
              <w:jc w:val="left"/>
            </w:pPr>
          </w:p>
        </w:tc>
      </w:tr>
    </w:tbl>
    <w:p w14:paraId="370E50A5" w14:textId="77777777" w:rsidR="00FF2935" w:rsidRPr="00FF2935" w:rsidRDefault="00FF2935">
      <w:pPr>
        <w:jc w:val="left"/>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C5BA" w14:textId="77777777" w:rsidR="00D52B20" w:rsidRDefault="00D52B20" w:rsidP="002E7950">
      <w:r>
        <w:separator/>
      </w:r>
    </w:p>
  </w:endnote>
  <w:endnote w:type="continuationSeparator" w:id="0">
    <w:p w14:paraId="194933E3" w14:textId="77777777" w:rsidR="00D52B20" w:rsidRDefault="00D52B20"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E6DDF">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E6DDF">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264C" w14:textId="77777777" w:rsidR="00D52B20" w:rsidRDefault="00D52B20" w:rsidP="002E7950">
      <w:r>
        <w:separator/>
      </w:r>
    </w:p>
  </w:footnote>
  <w:footnote w:type="continuationSeparator" w:id="0">
    <w:p w14:paraId="34B4E3EE" w14:textId="77777777" w:rsidR="00D52B20" w:rsidRDefault="00D52B20"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61FC6BBE"/>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D27"/>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6DDF"/>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4C5"/>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2B20"/>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445C25-C262-4AA2-B741-43F5B4CE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2020-09-04T10:32:00Z</dcterms:created>
  <dcterms:modified xsi:type="dcterms:W3CDTF">2020-09-04T10:32:00Z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